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651" w14:textId="3E1D1532" w:rsidR="00825423" w:rsidRDefault="001A1F62" w:rsidP="001A1F62">
      <w:r>
        <w:rPr>
          <w:noProof/>
        </w:rPr>
        <w:drawing>
          <wp:inline distT="0" distB="0" distL="0" distR="0" wp14:anchorId="2815EB45" wp14:editId="60F748DC">
            <wp:extent cx="1905689" cy="514350"/>
            <wp:effectExtent l="0" t="0" r="0" b="0"/>
            <wp:docPr id="9114410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74" cy="514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</w:rPr>
        <w:drawing>
          <wp:inline distT="0" distB="0" distL="0" distR="0" wp14:anchorId="0F98685B" wp14:editId="59AD1566">
            <wp:extent cx="762000" cy="585470"/>
            <wp:effectExtent l="0" t="0" r="0" b="5080"/>
            <wp:docPr id="2066076975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 wp14:anchorId="11CB1385" wp14:editId="348D2F92">
            <wp:extent cx="1506855" cy="474697"/>
            <wp:effectExtent l="0" t="0" r="0" b="1905"/>
            <wp:docPr id="52389043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81" cy="476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B83B3" w14:textId="65E31B87" w:rsidR="001A1F62" w:rsidRPr="000705A4" w:rsidRDefault="001A1F62" w:rsidP="00E72EB8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>
        <w:t xml:space="preserve">  </w:t>
      </w:r>
    </w:p>
    <w:p w14:paraId="320A9D01" w14:textId="40F5F696" w:rsidR="001A1F62" w:rsidRPr="000705A4" w:rsidRDefault="00104CAF" w:rsidP="00E72EB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0705A4">
        <w:rPr>
          <w:rFonts w:ascii="Times New Roman" w:hAnsi="Times New Roman" w:cs="Times New Roman"/>
          <w:b/>
          <w:bCs/>
          <w:sz w:val="18"/>
          <w:szCs w:val="18"/>
        </w:rPr>
        <w:t>ПРОЕКТ № BG05SFPR001-2.003-0073-C01 „ОТКРИЙ, РАЗВИЙ, ВДЪХНОВИ ТАЛАНТА ВЪВ ВСЯКО ДЕТЕ</w:t>
      </w:r>
      <w:r w:rsidR="001A1F62" w:rsidRPr="000705A4">
        <w:rPr>
          <w:rFonts w:ascii="Times New Roman" w:hAnsi="Times New Roman" w:cs="Times New Roman"/>
          <w:b/>
          <w:bCs/>
          <w:sz w:val="18"/>
          <w:szCs w:val="18"/>
        </w:rPr>
        <w:t xml:space="preserve">“ </w:t>
      </w:r>
      <w:r w:rsidRPr="000705A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13403243" w14:textId="5C60C649" w:rsidR="00CB2BAF" w:rsidRDefault="00CB2BAF" w:rsidP="00CB2BA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</w:p>
    <w:p w14:paraId="153C6EF7" w14:textId="77777777" w:rsidR="00871222" w:rsidRDefault="00871222" w:rsidP="00871222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BA79CA0" w14:textId="77777777" w:rsidR="00183795" w:rsidRDefault="00183795" w:rsidP="00871222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C6123AD" w14:textId="77777777" w:rsidR="003B61B1" w:rsidRPr="003B61B1" w:rsidRDefault="003B61B1" w:rsidP="00D63EAC">
      <w:pPr>
        <w:spacing w:before="100" w:beforeAutospacing="1" w:after="100" w:afterAutospacing="1" w:line="360" w:lineRule="auto"/>
        <w:ind w:firstLineChars="200" w:firstLine="482"/>
        <w:jc w:val="center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СТАТУТ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br/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НА ПЛЕНЕР ПО ИЗОБРАЗИТЕЛНО ИЗКУСТВО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br/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„СЕЗОНИ НА РЕКАТА“ СЕЗОН „ЕСЕН“</w:t>
      </w:r>
    </w:p>
    <w:p w14:paraId="15A279A5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I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ОБЩИ ПОЛОЖЕНИЯ</w:t>
      </w:r>
    </w:p>
    <w:p w14:paraId="15216199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Настоящият статут определя целите, тематичната насоченост, участниците и условията за провеждане на пленера „Сезони на реката“ - сезон „Есен“, организиран от Община „Тунджа“ в рамките на проект № </w:t>
      </w:r>
      <w:r w:rsidRPr="003B61B1">
        <w:rPr>
          <w:rFonts w:ascii="Times New Roman" w:eastAsia="SimSun" w:hAnsi="Times New Roman" w:cs="Times New Roman"/>
          <w:kern w:val="0"/>
          <w:lang w:val="en-US" w:eastAsia="zh-CN"/>
          <w14:ligatures w14:val="none"/>
        </w:rPr>
        <w:t>BG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05</w:t>
      </w:r>
      <w:r w:rsidRPr="003B61B1">
        <w:rPr>
          <w:rFonts w:ascii="Times New Roman" w:eastAsia="SimSun" w:hAnsi="Times New Roman" w:cs="Times New Roman"/>
          <w:kern w:val="0"/>
          <w:lang w:val="en-US" w:eastAsia="zh-CN"/>
          <w14:ligatures w14:val="none"/>
        </w:rPr>
        <w:t>SFPR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001-2.003-0073-</w:t>
      </w:r>
      <w:r w:rsidRPr="003B61B1">
        <w:rPr>
          <w:rFonts w:ascii="Times New Roman" w:eastAsia="SimSun" w:hAnsi="Times New Roman" w:cs="Times New Roman"/>
          <w:kern w:val="0"/>
          <w:lang w:val="en-US" w:eastAsia="zh-CN"/>
          <w14:ligatures w14:val="none"/>
        </w:rPr>
        <w:t>C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01 „Открий, развий, вдъхнови таланта във всяко дете“.</w:t>
      </w:r>
    </w:p>
    <w:p w14:paraId="3CA9D5F7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2.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Пленерът е творческа и образователна инициатива за развитие на художествените способности, въображението и отношението към природното и културното наследство на родния край. Провежда се без състезателно класиране.</w:t>
      </w:r>
    </w:p>
    <w:p w14:paraId="5A824516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3.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Основен източник на вдъхновение е река Тунджа - природен символ, свързан с името на общината, местната идентичност и принадлежността към общността.</w:t>
      </w:r>
    </w:p>
    <w:p w14:paraId="52A14D75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В символиката на общинския герб присъстват реката, житният клас, слънцето и равнината, обединени в елипсовидна форма, напомняща хляб. Тези елементи могат да послужат като отправна точка за творбите, без да се изисква възпроизвеждане на герба.</w:t>
      </w:r>
    </w:p>
    <w:p w14:paraId="112573FF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Темата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„Реката през есента“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дава възможност за пресъздаване на есенния пейзаж, отраженията във водата, сезонните промени и живота край реката.</w:t>
      </w:r>
    </w:p>
    <w:p w14:paraId="64DFC617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II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ЦЕЛИ И ЗАДАЧИ</w:t>
      </w:r>
    </w:p>
    <w:p w14:paraId="77BF52FE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4.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Основната цел е насърчаване на творческия талант чрез изобразителното изкуство и разширяване на познанията за река Тунджа и значението ѝ за местните общности.</w:t>
      </w:r>
    </w:p>
    <w:p w14:paraId="01DFD708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5.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Задачите на пленера са:</w:t>
      </w:r>
    </w:p>
    <w:p w14:paraId="03491205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lastRenderedPageBreak/>
        <w:t>1.Развитие на художествените умения, наблюдателността и индивидуалния творчески почерк.</w:t>
      </w:r>
    </w:p>
    <w:p w14:paraId="25450191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2.Насърчаване на експериментирането с различни техники и материали.</w:t>
      </w:r>
    </w:p>
    <w:p w14:paraId="6359E78B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3.Обогатяване на познанията за реката и сезонните промени в природата.</w:t>
      </w:r>
    </w:p>
    <w:p w14:paraId="0B14A9D3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4.Формиране на екологична култура и отговорно отношение към природното наследство.</w:t>
      </w:r>
    </w:p>
    <w:p w14:paraId="32C3AD77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5.Създаване на възможности за общуване и споделяне на творчески идеи.</w:t>
      </w:r>
    </w:p>
    <w:p w14:paraId="17E26F59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6.Осигуряване на достъп до художествени дейности за деца и ученици, включително от уязвими групи.</w:t>
      </w:r>
    </w:p>
    <w:p w14:paraId="64D656E3" w14:textId="77777777" w:rsidR="003B61B1" w:rsidRPr="003B61B1" w:rsidRDefault="003B61B1" w:rsidP="003B61B1">
      <w:pPr>
        <w:spacing w:after="0" w:line="360" w:lineRule="auto"/>
        <w:ind w:firstLineChars="200" w:firstLine="44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DD02D17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III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ДАТА И ОРГАНИЗАЦИЯ</w:t>
      </w:r>
    </w:p>
    <w:p w14:paraId="065E910B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6.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Пленерът се провежда на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29 октомври 2026 г.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в две последователни части:</w:t>
      </w:r>
    </w:p>
    <w:p w14:paraId="74EF039F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От 10:00 часа - за деца от детските градини.</w:t>
      </w:r>
    </w:p>
    <w:p w14:paraId="106AE68C" w14:textId="5D37AE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 xml:space="preserve">От 13:00 часа </w:t>
      </w:r>
      <w:r w:rsidR="00D63EAC"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-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 xml:space="preserve"> за ученици от училищата.</w:t>
      </w:r>
    </w:p>
    <w:p w14:paraId="701B3F08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Мястото се съобщава допълнително на участващите институции./село Тенево/</w:t>
      </w:r>
    </w:p>
    <w:p w14:paraId="604DFC42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7.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Участието във всяка част е с продължителност до 3 часа, включващи откриване, демонстрация, творческа работа, почивки, представяне на творбите и връчване на грамоти. За предучилищните деца се предвиждат по-кратки периоди на работа, редувани с почивки и наблюдение. Не се изисква непрекъснато рисуване през цялото времетраене.</w:t>
      </w:r>
    </w:p>
    <w:p w14:paraId="2AD34E9D" w14:textId="0F5B7FE8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8.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Пленерът се организира на открито, в подходяща и безопасна среда. При неблагоприятни метеорологични условия се провежда в предварително определено закрито пространство</w:t>
      </w:r>
      <w:r w:rsidR="008003EA">
        <w:rPr>
          <w:rFonts w:ascii="Times New Roman" w:eastAsia="SimSun" w:hAnsi="Times New Roman" w:cs="Times New Roman"/>
          <w:kern w:val="0"/>
          <w:lang w:eastAsia="zh-CN"/>
          <w14:ligatures w14:val="none"/>
        </w:rPr>
        <w:t>, за което ще бъдат уведомени участници в пленера.</w:t>
      </w:r>
    </w:p>
    <w:p w14:paraId="077BA053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IV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УЧАСТНИЦИ И ТВОРЧЕСКИ ГРУПИ</w:t>
      </w:r>
    </w:p>
    <w:p w14:paraId="2CC247FA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9.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Участници са деца и ученици от образователните институции на територията на община „Тунджа“, разпределени в четири възрастови групи:</w:t>
      </w:r>
    </w:p>
    <w:p w14:paraId="345001A9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lastRenderedPageBreak/>
        <w:t>Деца в предучилищна възраст.</w:t>
      </w:r>
    </w:p>
    <w:p w14:paraId="7C5C80F0" w14:textId="20B5FCB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Ученици от </w:t>
      </w:r>
      <w:r w:rsidRPr="003B61B1">
        <w:rPr>
          <w:rFonts w:ascii="Times New Roman" w:eastAsia="SimSun" w:hAnsi="Times New Roman" w:cs="Times New Roman"/>
          <w:kern w:val="0"/>
          <w:lang w:val="en-US" w:eastAsia="zh-CN"/>
          <w14:ligatures w14:val="none"/>
        </w:rPr>
        <w:t>I</w:t>
      </w:r>
      <w:r w:rsidR="00D63EAC"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>-</w:t>
      </w:r>
      <w:r w:rsidRPr="003B61B1">
        <w:rPr>
          <w:rFonts w:ascii="Times New Roman" w:eastAsia="SimSun" w:hAnsi="Times New Roman" w:cs="Times New Roman"/>
          <w:kern w:val="0"/>
          <w:lang w:val="en-US" w:eastAsia="zh-CN"/>
          <w14:ligatures w14:val="none"/>
        </w:rPr>
        <w:t>IV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клас.</w:t>
      </w:r>
    </w:p>
    <w:p w14:paraId="03CB8182" w14:textId="7C8F9930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Ученици от </w:t>
      </w:r>
      <w:r w:rsidRPr="003B61B1">
        <w:rPr>
          <w:rFonts w:ascii="Times New Roman" w:eastAsia="SimSun" w:hAnsi="Times New Roman" w:cs="Times New Roman"/>
          <w:kern w:val="0"/>
          <w:lang w:val="en-US" w:eastAsia="zh-CN"/>
          <w14:ligatures w14:val="none"/>
        </w:rPr>
        <w:t>V</w:t>
      </w:r>
      <w:r w:rsidR="00D63EAC"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>-</w:t>
      </w:r>
      <w:r w:rsidRPr="003B61B1">
        <w:rPr>
          <w:rFonts w:ascii="Times New Roman" w:eastAsia="SimSun" w:hAnsi="Times New Roman" w:cs="Times New Roman"/>
          <w:kern w:val="0"/>
          <w:lang w:val="en-US" w:eastAsia="zh-CN"/>
          <w14:ligatures w14:val="none"/>
        </w:rPr>
        <w:t>VII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клас.</w:t>
      </w:r>
    </w:p>
    <w:p w14:paraId="313417B1" w14:textId="683621B5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Ученици от </w:t>
      </w:r>
      <w:r w:rsidRPr="003B61B1">
        <w:rPr>
          <w:rFonts w:ascii="Times New Roman" w:eastAsia="SimSun" w:hAnsi="Times New Roman" w:cs="Times New Roman"/>
          <w:kern w:val="0"/>
          <w:lang w:val="en-US" w:eastAsia="zh-CN"/>
          <w14:ligatures w14:val="none"/>
        </w:rPr>
        <w:t>VIII</w:t>
      </w:r>
      <w:r w:rsidR="00D63EAC"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>-</w:t>
      </w:r>
      <w:r w:rsidRPr="003B61B1">
        <w:rPr>
          <w:rFonts w:ascii="Times New Roman" w:eastAsia="SimSun" w:hAnsi="Times New Roman" w:cs="Times New Roman"/>
          <w:kern w:val="0"/>
          <w:lang w:val="en-US" w:eastAsia="zh-CN"/>
          <w14:ligatures w14:val="none"/>
        </w:rPr>
        <w:t>XII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клас.</w:t>
      </w:r>
    </w:p>
    <w:p w14:paraId="367DB55F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10.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За частта от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10:00 часа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се предвиждат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40 деца от детските градини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, разпределени в четири творчески подгрупи според избраната техника.</w:t>
      </w:r>
    </w:p>
    <w:p w14:paraId="0FA3CFB6" w14:textId="7FB809FF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За частта от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13:00 часа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се предвиждат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120 ученици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, разпределени в трите училищни възрастови групи. Във всяка се организират четири подгрупи според техниката - общо дванадесет ученически подгрупи.</w:t>
      </w:r>
    </w:p>
    <w:p w14:paraId="1A643690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11.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Предвиждат се най-малко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12 творчески подгрупи с минимум 10 участници във всяка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. При общо 120 участници разпределението е в 12 подгрупи по 10.Окончателните списъци се изготвят въз основа на заявките и се съгласуват с участващите институции.</w:t>
      </w:r>
    </w:p>
    <w:p w14:paraId="118DE3B2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V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ЗАЯВЯВАНЕ НА УЧАСТИЕ</w:t>
      </w:r>
    </w:p>
    <w:p w14:paraId="0B64CBAE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12.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Участието се заявява предварително от детските градини и училищата в срок и по начин, посочени в поканата.</w:t>
      </w:r>
    </w:p>
    <w:p w14:paraId="34E6858A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Заявката съдържа:</w:t>
      </w:r>
    </w:p>
    <w:p w14:paraId="0A9DC2DF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наименование на институцията;</w:t>
      </w:r>
    </w:p>
    <w:p w14:paraId="6149A047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име на участника;</w:t>
      </w:r>
    </w:p>
    <w:p w14:paraId="6096B7A1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възраст и група или клас;</w:t>
      </w:r>
    </w:p>
    <w:p w14:paraId="110F94A7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предпочитана художествена техника;</w:t>
      </w:r>
    </w:p>
    <w:p w14:paraId="1DC67322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резервен избор на техника;</w:t>
      </w:r>
    </w:p>
    <w:p w14:paraId="613B961F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име и телефон на придружаващия отговорник.</w:t>
      </w:r>
    </w:p>
    <w:p w14:paraId="45FB1AFF" w14:textId="77777777" w:rsidR="003B61B1" w:rsidRPr="003B61B1" w:rsidRDefault="003B61B1" w:rsidP="003B61B1">
      <w:pPr>
        <w:spacing w:after="0" w:line="360" w:lineRule="auto"/>
        <w:ind w:firstLineChars="200" w:firstLine="440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D478C84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13.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При неравномерен интерес към ателиетата организаторите съгласуват разпределението с институциите, като отчитат предпочитанията на участниците.</w:t>
      </w:r>
    </w:p>
    <w:p w14:paraId="4CE682A9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lastRenderedPageBreak/>
        <w:t>Необходимостта от индивидуална подкрепа се обсъжда предварително и поверително. Данни за принадлежност към уязвима група не се включват в публични списъци и надписи към творбите.</w:t>
      </w:r>
    </w:p>
    <w:p w14:paraId="422F7E03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VI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ХУДОЖЕСТВЕНИ ТЕХНИКИ</w:t>
      </w:r>
    </w:p>
    <w:p w14:paraId="33021328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14.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Всеки участник избира една от следните техники:</w:t>
      </w:r>
    </w:p>
    <w:p w14:paraId="71A5A5BE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1. Акварелна живопис</w:t>
      </w:r>
    </w:p>
    <w:p w14:paraId="7AD45D69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Пресъздаване на есенни цветове, водни отражения, светлина и речни пейзажи чрез прозрачни цветни слоеве и разливи. Осигуряват се подходяща хартия, четки, вода и стабилна работна повърхност.</w:t>
      </w:r>
    </w:p>
    <w:p w14:paraId="40107ADB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2. Рисунка със сух пастел</w:t>
      </w:r>
    </w:p>
    <w:p w14:paraId="53460B2F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Изобразяване на есенната природа чрез цветни петна, линии, светлосенки и фактура. Използва се подходяща хартия. Ръководителят демонстрира работа без издухване на пастелния прах; аерозолни фиксатори не се използват в присъствието на децата.</w:t>
      </w:r>
    </w:p>
    <w:p w14:paraId="4127EBEE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3. Рисунка с цветни моливи</w:t>
      </w:r>
    </w:p>
    <w:p w14:paraId="3392EBD8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Пресъздаване на речния пейзаж, дърветата, листата и животинския свят чрез линии, щрихи и цветове. Сложността на задачата се съобразява с възрастта.</w:t>
      </w:r>
    </w:p>
    <w:p w14:paraId="266E83E7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4. Смесена техника - рисунка и колаж с природни материали</w:t>
      </w:r>
    </w:p>
    <w:p w14:paraId="78C704DD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Съчетаване на рисуване с предварително събрани паднали листа, дребни клонки и други безопасни природни материали. Не се допуска увреждане на живи растения за набавяне на материали.</w:t>
      </w:r>
    </w:p>
    <w:p w14:paraId="06128B39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15.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Демонстрациите, пособията и подкрепата се съобразяват с възрастта и индивидуалните възможности. В поканата се уточнява кои материали осигурява организаторът и дали са необходими лични принадлежности.</w:t>
      </w:r>
    </w:p>
    <w:p w14:paraId="1073C3C8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VII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ОРГАНИЗАЦИОНЕН ЕКИП</w:t>
      </w:r>
    </w:p>
    <w:p w14:paraId="442A7A5E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16.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Пленерът се подготвя от екипа по проекта с подкрепата на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 xml:space="preserve">8 ПС и 8 ЕОД с квалификация и опит  в областта на изобразителното изкуство 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.Всяка подгрупа се ръководи от един специалист. Организационното разпределение е:</w:t>
      </w:r>
    </w:p>
    <w:p w14:paraId="2CA53028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За детските градини - 2 ПС и 2 ЕОД.</w:t>
      </w:r>
    </w:p>
    <w:p w14:paraId="5835375C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lastRenderedPageBreak/>
        <w:t>За училищата -6 ПС и 6 ЕОД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, по двама ПС и двама ЕОД за всяка училищна възрастова група.</w:t>
      </w:r>
    </w:p>
    <w:p w14:paraId="0C99B38B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17.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ПС и ЕОД:</w:t>
      </w:r>
    </w:p>
    <w:p w14:paraId="7F899D48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Подготвят работните места и материалите.</w:t>
      </w:r>
    </w:p>
    <w:p w14:paraId="5D63BF6D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Представят темата и демонстрират техниката.</w:t>
      </w:r>
    </w:p>
    <w:p w14:paraId="56B3A491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Подпомагат реализирането на индивидуалните идеи, без да рисуват вместо участниците.</w:t>
      </w:r>
    </w:p>
    <w:p w14:paraId="44BD4510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Следят за безопасната работа и необходимите почивки.</w:t>
      </w:r>
    </w:p>
    <w:p w14:paraId="2C0F505A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Подпомагат обозначаването и представянето на творбите.</w:t>
      </w:r>
    </w:p>
    <w:p w14:paraId="628A68DB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Предоставят необходимите отчетни документи.</w:t>
      </w:r>
    </w:p>
    <w:p w14:paraId="72E5836E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18.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Организаторите координират и осигуряват транспорта до мястото и обратно съобразно предварително уточнената организация и възможностите на проекта. Маршрутите и часовете се съобщават отделно на институциите. Детските градини и училищата определят придружаващи лица, които съдействат за безопасното придвижване и участието на децата и учениците.</w:t>
      </w:r>
    </w:p>
    <w:p w14:paraId="69F0060C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VIII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ТВОРЧЕСКА РАБОТА И ПРЕДСТАВЯНЕ</w:t>
      </w:r>
    </w:p>
    <w:p w14:paraId="3824FA90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19.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Всеки участник създава собствена творба на място по темата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„Реката през есента“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. Допуска се работа по наблюдение, по спомен или по въображение, както и използване на предоставени снимки като визуална опора.</w:t>
      </w:r>
    </w:p>
    <w:p w14:paraId="7DAD37FB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>Не се представят предварително завършени рисунки като създадени по време на пленера.</w:t>
      </w:r>
    </w:p>
    <w:p w14:paraId="794997EF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20.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В програмата могат да се включат кратки разговори, наблюдения и въпроси за река Тунджа, сезонните промени и опазването на природата, съобразени с възрастта.</w:t>
      </w:r>
    </w:p>
    <w:p w14:paraId="1756A07E" w14:textId="77777777" w:rsidR="003B61B1" w:rsidRPr="003B61B1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21.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На гърба на творбата се отбелязват име на автора, възраст или клас, институция, техника и заглавие, ако е избрано.</w:t>
      </w:r>
    </w:p>
    <w:p w14:paraId="7157AE34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В края на всяка част творбите се представят в изложба </w:t>
      </w:r>
      <w:r w:rsidRPr="003B61B1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„Сезони на реката“ - сезон „Есен“</w:t>
      </w:r>
      <w:r w:rsidRPr="003B61B1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. </w:t>
      </w: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>Всеки участник има възможност да сподели своя замисъл.</w:t>
      </w:r>
    </w:p>
    <w:p w14:paraId="4BC2F614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lastRenderedPageBreak/>
        <w:t>Чл. 22.</w:t>
      </w: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</w:t>
      </w:r>
      <w:r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Всички участници получават грамота за участие.</w:t>
      </w: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Не се присъждат състезателни места. Насърчават се индивидуалният творчески подход, старанието и уважението към работата на останалите.</w:t>
      </w:r>
    </w:p>
    <w:p w14:paraId="11673A68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IX</w:t>
      </w:r>
      <w:r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БЕЗОПАСНОСТ И ОПАЗВАНЕ НА ПРИРОДАТА</w:t>
      </w:r>
    </w:p>
    <w:p w14:paraId="403852CA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23.</w:t>
      </w: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Работните пространства се разполагат на безопасен и достъпен терен. При провеждане близо до реката не се допуска самостоятелен достъп на участниците до водата.</w:t>
      </w:r>
    </w:p>
    <w:p w14:paraId="4BCCF343" w14:textId="5B0F25E4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>Използват се материали и пособия, подходящи за възрастта.</w:t>
      </w:r>
    </w:p>
    <w:p w14:paraId="109D300D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24.</w:t>
      </w: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След приключване работните места се почистват. Отпадъци, бои и вода от измиване на четки не се изхвърлят в реката или върху терена.</w:t>
      </w:r>
    </w:p>
    <w:p w14:paraId="79492CF9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3B61B1">
        <w:rPr>
          <w:rFonts w:ascii="Times New Roman" w:eastAsia="SimSun" w:hAnsi="Times New Roman" w:cs="Times New Roman"/>
          <w:b/>
          <w:bCs/>
          <w:kern w:val="0"/>
          <w:lang w:val="en-US" w:eastAsia="zh-CN"/>
          <w14:ligatures w14:val="none"/>
        </w:rPr>
        <w:t>X</w:t>
      </w:r>
      <w:r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. ПУБЛИЧНОСТ И ЗАКЛЮЧИТЕЛНИ РАЗПОРЕДБИ</w:t>
      </w:r>
    </w:p>
    <w:p w14:paraId="074F4CE3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25.</w:t>
      </w: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Статутът и поканата се разпространяват чрез сайта на общината, образователните институции, народните читалища и други подходящи информационни канали.</w:t>
      </w:r>
    </w:p>
    <w:p w14:paraId="084560D5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0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>За двете части се изготвят отделни присъствени списъци и разпределения по ателиета, както и необходимите документи по проекта.</w:t>
      </w:r>
    </w:p>
    <w:p w14:paraId="68A07FFA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26.</w:t>
      </w: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Заснемането, публикуването на изображения и представянето на творби с имената на авторите се извършват при предварително уточнени условия и необходимите съгласия. Авторството се запазва. Условията за последващо излагане и връщане на оригиналните творби се съобщават на институциите.</w:t>
      </w:r>
    </w:p>
    <w:p w14:paraId="705A874A" w14:textId="77777777" w:rsidR="003B61B1" w:rsidRPr="00D63EAC" w:rsidRDefault="003B61B1" w:rsidP="003B61B1">
      <w:pPr>
        <w:spacing w:before="100" w:beforeAutospacing="1" w:after="100" w:afterAutospacing="1" w:line="360" w:lineRule="auto"/>
        <w:ind w:firstLineChars="200" w:firstLine="482"/>
        <w:jc w:val="both"/>
        <w:rPr>
          <w:rFonts w:ascii="Times New Roman" w:eastAsia="SimSun" w:hAnsi="Times New Roman" w:cs="Times New Roman"/>
          <w:kern w:val="0"/>
          <w:lang w:eastAsia="zh-CN"/>
          <w14:ligatures w14:val="none"/>
        </w:rPr>
      </w:pPr>
      <w:r w:rsidRPr="00D63EAC">
        <w:rPr>
          <w:rFonts w:ascii="Times New Roman" w:eastAsia="SimSun" w:hAnsi="Times New Roman" w:cs="Times New Roman"/>
          <w:b/>
          <w:bCs/>
          <w:kern w:val="0"/>
          <w:lang w:eastAsia="zh-CN"/>
          <w14:ligatures w14:val="none"/>
        </w:rPr>
        <w:t>Чл. 27.</w:t>
      </w:r>
      <w:r w:rsidRPr="00D63EAC">
        <w:rPr>
          <w:rFonts w:ascii="Times New Roman" w:eastAsia="SimSun" w:hAnsi="Times New Roman" w:cs="Times New Roman"/>
          <w:kern w:val="0"/>
          <w:lang w:eastAsia="zh-CN"/>
          <w14:ligatures w14:val="none"/>
        </w:rPr>
        <w:t xml:space="preserve"> Неуредените организационни въпроси се решават от екипа по проекта в съответствие с целите и условията за неговото изпълнение.</w:t>
      </w:r>
    </w:p>
    <w:sectPr w:rsidR="003B61B1" w:rsidRPr="00D63EAC" w:rsidSect="00871222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00D1"/>
    <w:multiLevelType w:val="multilevel"/>
    <w:tmpl w:val="F60A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6B5"/>
    <w:multiLevelType w:val="multilevel"/>
    <w:tmpl w:val="173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31BA"/>
    <w:multiLevelType w:val="multilevel"/>
    <w:tmpl w:val="D83C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D28F6"/>
    <w:multiLevelType w:val="multilevel"/>
    <w:tmpl w:val="40F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F0965"/>
    <w:multiLevelType w:val="multilevel"/>
    <w:tmpl w:val="563E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07849"/>
    <w:multiLevelType w:val="hybridMultilevel"/>
    <w:tmpl w:val="96F4B8E4"/>
    <w:lvl w:ilvl="0" w:tplc="0402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6" w15:restartNumberingAfterBreak="0">
    <w:nsid w:val="4400749B"/>
    <w:multiLevelType w:val="multilevel"/>
    <w:tmpl w:val="84FE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945A2D"/>
    <w:multiLevelType w:val="hybridMultilevel"/>
    <w:tmpl w:val="7B2A7470"/>
    <w:lvl w:ilvl="0" w:tplc="9E640B28">
      <w:start w:val="2"/>
      <w:numFmt w:val="decimal"/>
      <w:lvlText w:val="%1."/>
      <w:lvlJc w:val="left"/>
      <w:pPr>
        <w:ind w:left="2727" w:hanging="360"/>
      </w:pPr>
    </w:lvl>
    <w:lvl w:ilvl="1" w:tplc="04020019">
      <w:start w:val="1"/>
      <w:numFmt w:val="lowerLetter"/>
      <w:lvlText w:val="%2."/>
      <w:lvlJc w:val="left"/>
      <w:pPr>
        <w:ind w:left="3447" w:hanging="360"/>
      </w:pPr>
    </w:lvl>
    <w:lvl w:ilvl="2" w:tplc="0402001B">
      <w:start w:val="1"/>
      <w:numFmt w:val="lowerRoman"/>
      <w:lvlText w:val="%3."/>
      <w:lvlJc w:val="right"/>
      <w:pPr>
        <w:ind w:left="4167" w:hanging="180"/>
      </w:pPr>
    </w:lvl>
    <w:lvl w:ilvl="3" w:tplc="0402000F">
      <w:start w:val="1"/>
      <w:numFmt w:val="decimal"/>
      <w:lvlText w:val="%4."/>
      <w:lvlJc w:val="left"/>
      <w:pPr>
        <w:ind w:left="4887" w:hanging="360"/>
      </w:pPr>
    </w:lvl>
    <w:lvl w:ilvl="4" w:tplc="04020019">
      <w:start w:val="1"/>
      <w:numFmt w:val="lowerLetter"/>
      <w:lvlText w:val="%5."/>
      <w:lvlJc w:val="left"/>
      <w:pPr>
        <w:ind w:left="5607" w:hanging="360"/>
      </w:pPr>
    </w:lvl>
    <w:lvl w:ilvl="5" w:tplc="0402001B">
      <w:start w:val="1"/>
      <w:numFmt w:val="lowerRoman"/>
      <w:lvlText w:val="%6."/>
      <w:lvlJc w:val="right"/>
      <w:pPr>
        <w:ind w:left="6327" w:hanging="180"/>
      </w:pPr>
    </w:lvl>
    <w:lvl w:ilvl="6" w:tplc="0402000F">
      <w:start w:val="1"/>
      <w:numFmt w:val="decimal"/>
      <w:lvlText w:val="%7."/>
      <w:lvlJc w:val="left"/>
      <w:pPr>
        <w:ind w:left="7047" w:hanging="360"/>
      </w:pPr>
    </w:lvl>
    <w:lvl w:ilvl="7" w:tplc="04020019">
      <w:start w:val="1"/>
      <w:numFmt w:val="lowerLetter"/>
      <w:lvlText w:val="%8."/>
      <w:lvlJc w:val="left"/>
      <w:pPr>
        <w:ind w:left="7767" w:hanging="360"/>
      </w:pPr>
    </w:lvl>
    <w:lvl w:ilvl="8" w:tplc="0402001B">
      <w:start w:val="1"/>
      <w:numFmt w:val="lowerRoman"/>
      <w:lvlText w:val="%9."/>
      <w:lvlJc w:val="right"/>
      <w:pPr>
        <w:ind w:left="8487" w:hanging="180"/>
      </w:pPr>
    </w:lvl>
  </w:abstractNum>
  <w:abstractNum w:abstractNumId="8" w15:restartNumberingAfterBreak="0">
    <w:nsid w:val="536472D7"/>
    <w:multiLevelType w:val="hybridMultilevel"/>
    <w:tmpl w:val="4A82F5CA"/>
    <w:lvl w:ilvl="0" w:tplc="274AA8B8">
      <w:numFmt w:val="bullet"/>
      <w:lvlText w:val="-"/>
      <w:lvlJc w:val="left"/>
      <w:pPr>
        <w:ind w:left="861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9" w15:restartNumberingAfterBreak="0">
    <w:nsid w:val="55CC2E0C"/>
    <w:multiLevelType w:val="multilevel"/>
    <w:tmpl w:val="9FFC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F0FF3"/>
    <w:multiLevelType w:val="multilevel"/>
    <w:tmpl w:val="23AA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7A544B"/>
    <w:multiLevelType w:val="multilevel"/>
    <w:tmpl w:val="FC3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070397"/>
    <w:multiLevelType w:val="multilevel"/>
    <w:tmpl w:val="CFBA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3437A6"/>
    <w:multiLevelType w:val="multilevel"/>
    <w:tmpl w:val="3B02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753B84"/>
    <w:multiLevelType w:val="multilevel"/>
    <w:tmpl w:val="FCB67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C87F4B"/>
    <w:multiLevelType w:val="multilevel"/>
    <w:tmpl w:val="68AA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5F06B7"/>
    <w:multiLevelType w:val="multilevel"/>
    <w:tmpl w:val="A0F6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062694"/>
    <w:multiLevelType w:val="multilevel"/>
    <w:tmpl w:val="716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B583C"/>
    <w:multiLevelType w:val="multilevel"/>
    <w:tmpl w:val="6F76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8142">
    <w:abstractNumId w:val="14"/>
  </w:num>
  <w:num w:numId="2" w16cid:durableId="2013139668">
    <w:abstractNumId w:val="6"/>
  </w:num>
  <w:num w:numId="3" w16cid:durableId="2094541717">
    <w:abstractNumId w:val="15"/>
  </w:num>
  <w:num w:numId="4" w16cid:durableId="967974672">
    <w:abstractNumId w:val="4"/>
  </w:num>
  <w:num w:numId="5" w16cid:durableId="254024123">
    <w:abstractNumId w:val="11"/>
  </w:num>
  <w:num w:numId="6" w16cid:durableId="1353920100">
    <w:abstractNumId w:val="12"/>
  </w:num>
  <w:num w:numId="7" w16cid:durableId="247733709">
    <w:abstractNumId w:val="18"/>
  </w:num>
  <w:num w:numId="8" w16cid:durableId="1779324409">
    <w:abstractNumId w:val="13"/>
  </w:num>
  <w:num w:numId="9" w16cid:durableId="2038039774">
    <w:abstractNumId w:val="0"/>
  </w:num>
  <w:num w:numId="10" w16cid:durableId="1740402474">
    <w:abstractNumId w:val="9"/>
  </w:num>
  <w:num w:numId="11" w16cid:durableId="1825855450">
    <w:abstractNumId w:val="17"/>
  </w:num>
  <w:num w:numId="12" w16cid:durableId="1670909180">
    <w:abstractNumId w:val="3"/>
  </w:num>
  <w:num w:numId="13" w16cid:durableId="417407924">
    <w:abstractNumId w:val="10"/>
  </w:num>
  <w:num w:numId="14" w16cid:durableId="909077791">
    <w:abstractNumId w:val="16"/>
  </w:num>
  <w:num w:numId="15" w16cid:durableId="165634184">
    <w:abstractNumId w:val="2"/>
  </w:num>
  <w:num w:numId="16" w16cid:durableId="1779790030">
    <w:abstractNumId w:val="1"/>
  </w:num>
  <w:num w:numId="17" w16cid:durableId="1194226817">
    <w:abstractNumId w:val="5"/>
  </w:num>
  <w:num w:numId="18" w16cid:durableId="59227876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42884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38"/>
    <w:rsid w:val="00030D43"/>
    <w:rsid w:val="000705A4"/>
    <w:rsid w:val="00084D19"/>
    <w:rsid w:val="000D0A1B"/>
    <w:rsid w:val="000D1AED"/>
    <w:rsid w:val="00104CAF"/>
    <w:rsid w:val="001233A9"/>
    <w:rsid w:val="00183795"/>
    <w:rsid w:val="001A03AC"/>
    <w:rsid w:val="001A1F62"/>
    <w:rsid w:val="00224B43"/>
    <w:rsid w:val="002723D0"/>
    <w:rsid w:val="002B4BBD"/>
    <w:rsid w:val="0033103E"/>
    <w:rsid w:val="003B61B1"/>
    <w:rsid w:val="003B6CDD"/>
    <w:rsid w:val="003E5CE6"/>
    <w:rsid w:val="004D1F54"/>
    <w:rsid w:val="004E0C7F"/>
    <w:rsid w:val="004F4E61"/>
    <w:rsid w:val="005645C1"/>
    <w:rsid w:val="00572A4D"/>
    <w:rsid w:val="00596925"/>
    <w:rsid w:val="005E12FA"/>
    <w:rsid w:val="005F75B3"/>
    <w:rsid w:val="00622207"/>
    <w:rsid w:val="00635D09"/>
    <w:rsid w:val="00670927"/>
    <w:rsid w:val="006838FA"/>
    <w:rsid w:val="006D6934"/>
    <w:rsid w:val="006F2A62"/>
    <w:rsid w:val="006F7D0D"/>
    <w:rsid w:val="00703E06"/>
    <w:rsid w:val="00713ADC"/>
    <w:rsid w:val="00726453"/>
    <w:rsid w:val="00737A17"/>
    <w:rsid w:val="007614AA"/>
    <w:rsid w:val="00773EC5"/>
    <w:rsid w:val="008003EA"/>
    <w:rsid w:val="00825423"/>
    <w:rsid w:val="00830511"/>
    <w:rsid w:val="00871222"/>
    <w:rsid w:val="00876C80"/>
    <w:rsid w:val="00885CE7"/>
    <w:rsid w:val="008B6F30"/>
    <w:rsid w:val="008F172B"/>
    <w:rsid w:val="008F5F59"/>
    <w:rsid w:val="00906022"/>
    <w:rsid w:val="00930F38"/>
    <w:rsid w:val="0097281A"/>
    <w:rsid w:val="0098357E"/>
    <w:rsid w:val="0099389B"/>
    <w:rsid w:val="009F23B6"/>
    <w:rsid w:val="00A13EF0"/>
    <w:rsid w:val="00A3287D"/>
    <w:rsid w:val="00A33FC1"/>
    <w:rsid w:val="00AA7FE6"/>
    <w:rsid w:val="00AC7A5B"/>
    <w:rsid w:val="00AD4546"/>
    <w:rsid w:val="00B23B15"/>
    <w:rsid w:val="00B42F96"/>
    <w:rsid w:val="00B607EB"/>
    <w:rsid w:val="00B61E86"/>
    <w:rsid w:val="00B7763F"/>
    <w:rsid w:val="00B92DD4"/>
    <w:rsid w:val="00BB75BC"/>
    <w:rsid w:val="00BD0A5B"/>
    <w:rsid w:val="00BD24DD"/>
    <w:rsid w:val="00BD5C0C"/>
    <w:rsid w:val="00C01035"/>
    <w:rsid w:val="00C52D43"/>
    <w:rsid w:val="00CA32DC"/>
    <w:rsid w:val="00CB2BAF"/>
    <w:rsid w:val="00CD63B8"/>
    <w:rsid w:val="00CF1F05"/>
    <w:rsid w:val="00D43833"/>
    <w:rsid w:val="00D5215B"/>
    <w:rsid w:val="00D554A9"/>
    <w:rsid w:val="00D63EAC"/>
    <w:rsid w:val="00D7714D"/>
    <w:rsid w:val="00DB57E7"/>
    <w:rsid w:val="00DB7C27"/>
    <w:rsid w:val="00DC5BF9"/>
    <w:rsid w:val="00DD3EA8"/>
    <w:rsid w:val="00DE748D"/>
    <w:rsid w:val="00E23AF1"/>
    <w:rsid w:val="00E26656"/>
    <w:rsid w:val="00E72EB8"/>
    <w:rsid w:val="00E8346D"/>
    <w:rsid w:val="00E939DC"/>
    <w:rsid w:val="00EB3AF9"/>
    <w:rsid w:val="00ED2327"/>
    <w:rsid w:val="00F61ED7"/>
    <w:rsid w:val="00F86DAB"/>
    <w:rsid w:val="00F8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CA21"/>
  <w15:chartTrackingRefBased/>
  <w15:docId w15:val="{098A329F-2302-4D98-A9FA-9256463B5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930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30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30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30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30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30F3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30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30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30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30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0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30F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0F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0F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0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30F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0F3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e">
    <w:name w:val="Strong"/>
    <w:basedOn w:val="a0"/>
    <w:uiPriority w:val="22"/>
    <w:qFormat/>
    <w:rsid w:val="00825423"/>
    <w:rPr>
      <w:b/>
      <w:bCs/>
    </w:rPr>
  </w:style>
  <w:style w:type="paragraph" w:styleId="af">
    <w:name w:val="Normal (Web)"/>
    <w:basedOn w:val="a"/>
    <w:uiPriority w:val="99"/>
    <w:semiHidden/>
    <w:unhideWhenUsed/>
    <w:rsid w:val="00825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TUSER</cp:lastModifiedBy>
  <cp:revision>60</cp:revision>
  <cp:lastPrinted>2026-09-17T11:44:00Z</cp:lastPrinted>
  <dcterms:created xsi:type="dcterms:W3CDTF">2026-06-09T08:20:00Z</dcterms:created>
  <dcterms:modified xsi:type="dcterms:W3CDTF">2026-10-19T10:36:00Z</dcterms:modified>
</cp:coreProperties>
</file>